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WildÜV (Brandenburg)</w:t>
      </w:r>
    </w:p>
    <w:p>
      <w:r>
        <w:rPr>
          <w:color w:val="555555"/>
          <w:sz w:val="18"/>
        </w:rPr>
        <w:t xml:space="preserve">Wildhandelsüberwachungsverordnung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Wer Wild gewerbsmäßig an- oder weiterverkauft,</w:t>
      </w:r>
    </w:p>
    <w:p>
      <w:r>
        <w:t xml:space="preserve">muß ein Wildhandelsbuch führen. In diesem sind Eingangsdatum,</w:t>
      </w:r>
    </w:p>
    <w:p>
      <w:r>
        <w:t xml:space="preserve">Wildmarkennummer, Wildart, Geschlecht, Gewicht und Herkunft sowie eventuelle</w:t>
      </w:r>
    </w:p>
    <w:p>
      <w:r>
        <w:t xml:space="preserve">Besonderheiten zu vermerken (Anlage 2).</w:t>
      </w:r>
    </w:p>
    <w:p>
      <w:r>
        <w:t xml:space="preserve">(2) Das Wildhandelsbuch ist fünf Jahre nach</w:t>
      </w:r>
    </w:p>
    <w:p>
      <w:r>
        <w:t xml:space="preserve">Abschluß aufzubewahren.</w:t>
      </w:r>
    </w:p>
    <w:p>
      <w:r>
        <w:rPr>
          <w:color w:val="555555"/>
          <w:sz w:val="17"/>
        </w:rPr>
        <w:t xml:space="preserve">Zitiervorschlag: § 8 WildÜV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https://recht.nulegal.eu/gesetze/Wild%C3%9CV/8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