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WildÜV (Brandenburg)</w:t>
      </w:r>
    </w:p>
    <w:p>
      <w:r>
        <w:rPr>
          <w:color w:val="555555"/>
          <w:sz w:val="18"/>
        </w:rPr>
        <w:t xml:space="preserve">Wildhandelsüberwachungsverordnung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Original des Wildursprungsscheines ist vom</w:t>
      </w:r>
    </w:p>
    <w:p>
      <w:r>
        <w:t xml:space="preserve">Jagdausübungsberechtigten bis zum Ende des folgenden Jagdjahres</w:t>
      </w:r>
    </w:p>
    <w:p>
      <w:r>
        <w:t xml:space="preserve">aufzubewahren. Gleiches gilt für alle gewerblichen An- und Verkäufer</w:t>
      </w:r>
    </w:p>
    <w:p>
      <w:r>
        <w:t xml:space="preserve">sowie die gewerblichen Be- und Verarbeiter. Aufbewahrungsfristen nach anderen</w:t>
      </w:r>
    </w:p>
    <w:p>
      <w:r>
        <w:t xml:space="preserve">Rechtsvorschriften bleiben unberührt.</w:t>
      </w:r>
    </w:p>
    <w:p>
      <w:r>
        <w:rPr>
          <w:color w:val="555555"/>
          <w:sz w:val="17"/>
        </w:rPr>
        <w:t xml:space="preserve">Zitiervorschlag: § 7 WildÜV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https://recht.nulegal.eu/gesetze/Wild%C3%9CV/7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