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Wildursprungsschein wird im Durchschreibverfahren</w:t>
      </w:r>
    </w:p>
    <w:p>
      <w:r>
        <w:t xml:space="preserve">(3-fach) ausgefertigt. Das Original (weißes Blatt) verbleibt beim</w:t>
      </w:r>
    </w:p>
    <w:p>
      <w:r>
        <w:t xml:space="preserve">Jagdausübungsberechtigten, die beiden Durchschriften (grün und gelb)</w:t>
      </w:r>
    </w:p>
    <w:p>
      <w:r>
        <w:t xml:space="preserve">werden mit dem Wild an den Abnehmer übergeben.</w:t>
      </w:r>
    </w:p>
    <w:p>
      <w:r>
        <w:t xml:space="preserve">(2) Wird das Wild an einen gewerbsmäßigen</w:t>
      </w:r>
    </w:p>
    <w:p>
      <w:r>
        <w:t xml:space="preserve">Händler übergeben, verbleibt die erste Durchschrift (grünes</w:t>
      </w:r>
    </w:p>
    <w:p>
      <w:r>
        <w:t xml:space="preserve">Blatt) bei dessen Unterlagen. Die zweite Durchschrift (gelbes Blatt) wird mit</w:t>
      </w:r>
    </w:p>
    <w:p>
      <w:r>
        <w:t xml:space="preserve">dem Wild weitergegeben.</w:t>
      </w:r>
    </w:p>
    <w:p>
      <w:r>
        <w:t xml:space="preserve">(3) Wird Wild zerlegt und an verschiedene Abnehmer geliefert,</w:t>
      </w:r>
    </w:p>
    <w:p>
      <w:r>
        <w:t xml:space="preserve">bleiben die jeweiligen Durchschriften beim zerlegenden Betrieb bzw.</w:t>
      </w:r>
    </w:p>
    <w:p>
      <w:r>
        <w:t xml:space="preserve">Jagdausübungsberechtigten.</w:t>
      </w:r>
    </w:p>
    <w:p>
      <w:r>
        <w:rPr>
          <w:color w:val="555555"/>
          <w:sz w:val="17"/>
        </w:rPr>
        <w:t xml:space="preserve">Zitiervorschlag: § 5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