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WildÜV (Brandenburg)</w:t>
      </w:r>
    </w:p>
    <w:p>
      <w:r>
        <w:rPr>
          <w:color w:val="555555"/>
          <w:sz w:val="18"/>
        </w:rPr>
        <w:t xml:space="preserve">Wildhandelsüberwachungsverordnung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Im jeweiligen Jagdjahr nicht benötigte Wildmarken sind</w:t>
      </w:r>
    </w:p>
    <w:p>
      <w:r>
        <w:t xml:space="preserve">bis 30. April des folgenden Jahres bei der unteren Jagdbehörde zu melden.</w:t>
      </w:r>
    </w:p>
    <w:p>
      <w:r>
        <w:t xml:space="preserve">Unbrauchbare Marken sind nummernmäßig zu erfassen und der unteren</w:t>
      </w:r>
    </w:p>
    <w:p>
      <w:r>
        <w:t xml:space="preserve">Jagdbehörde innerhalb von vier Wochen nach Feststellung mitzuteilen.</w:t>
      </w:r>
    </w:p>
    <w:p>
      <w:r>
        <w:rPr>
          <w:color w:val="555555"/>
          <w:sz w:val="17"/>
        </w:rPr>
        <w:t xml:space="preserve">Zitiervorschlag: § 4 WildÜV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https://recht.nulegal.eu/gesetze/Wild%C3%9CV/4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