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WildÜV (Brandenburg)</w:t>
      </w:r>
    </w:p>
    <w:p>
      <w:r>
        <w:rPr>
          <w:color w:val="555555"/>
          <w:sz w:val="18"/>
        </w:rPr>
        <w:t xml:space="preserve">Wildhandelsüberwachungsverordnung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notwendige Anzahl Wildursprungsscheine sowie</w:t>
      </w:r>
    </w:p>
    <w:p>
      <w:r>
        <w:t xml:space="preserve">Wildmarken werden den Jagdausübungsberechtigten durch die zuständige</w:t>
      </w:r>
    </w:p>
    <w:p>
      <w:r>
        <w:t xml:space="preserve">untere Jagdbehörde spätestens mit dem für das jeweilige Jagdjahr</w:t>
      </w:r>
    </w:p>
    <w:p>
      <w:r>
        <w:t xml:space="preserve">bestätigten bzw. festgesetzten Abschußplan übergeben.</w:t>
      </w:r>
    </w:p>
    <w:p>
      <w:r>
        <w:t xml:space="preserve">(2) Die unteren Jagdbehörden erhalten die</w:t>
      </w:r>
    </w:p>
    <w:p>
      <w:r>
        <w:t xml:space="preserve">Wildursprungsscheine und Wildmarken bis zum 28. Februar des Jahres in der mit</w:t>
      </w:r>
    </w:p>
    <w:p>
      <w:r>
        <w:t xml:space="preserve">der obersten Jagdbehörde abgestimmten Anzahl geliefert.</w:t>
      </w:r>
    </w:p>
    <w:p>
      <w:r>
        <w:t xml:space="preserve">(3) Die oberste Jagdbehörde regelt durch</w:t>
      </w:r>
    </w:p>
    <w:p>
      <w:r>
        <w:t xml:space="preserve">Verwaltungsvorschrift Näheres zur Bestellung und Verteilung der</w:t>
      </w:r>
    </w:p>
    <w:p>
      <w:r>
        <w:t xml:space="preserve">Wildursprungsscheine und Wildmarken.</w:t>
      </w:r>
    </w:p>
    <w:p>
      <w:r>
        <w:rPr>
          <w:color w:val="555555"/>
          <w:sz w:val="17"/>
        </w:rPr>
        <w:t xml:space="preserve">Zitiervorschlag: § 3 WildÜV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https://recht.nulegal.eu/gesetze/Wild%C3%9CV/3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