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WildÜV (Brandenburg)</w:t>
      </w:r>
    </w:p>
    <w:p>
      <w:r>
        <w:rPr>
          <w:color w:val="555555"/>
          <w:sz w:val="18"/>
        </w:rPr>
        <w:t xml:space="preserve">Wildhandelsüberwachungsverordnung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Jedes erlegte, zum menschlichen Verzehr vorgesehene</w:t>
      </w:r>
    </w:p>
    <w:p>
      <w:r>
        <w:t xml:space="preserve">Stück Wild ist sofort nach der Erlegung noch im Jagdbezirk mit einer</w:t>
      </w:r>
    </w:p>
    <w:p>
      <w:r>
        <w:t xml:space="preserve">Wildmarke zu kennzeichnen. Die Wildmarkennummer ist in den Wildursprungsschein</w:t>
      </w:r>
    </w:p>
    <w:p>
      <w:r>
        <w:t xml:space="preserve">(Anlage 1) einzutragen. Dieser ist unverzüglich auszufüllen. Zur</w:t>
      </w:r>
    </w:p>
    <w:p>
      <w:r>
        <w:t xml:space="preserve">Verwertung vorgesehenes Unfallwild ist wie erlegtes Wild zu behandeln.</w:t>
      </w:r>
    </w:p>
    <w:p>
      <w:r>
        <w:t xml:space="preserve">(2) Die Anbringung der Wildmarke erfolgt im Wildbret der</w:t>
      </w:r>
    </w:p>
    <w:p>
      <w:r>
        <w:t xml:space="preserve">Brust- bzw. Bauchwand.</w:t>
      </w:r>
    </w:p>
    <w:p>
      <w:r>
        <w:t xml:space="preserve">(3) Für das Anbringen der Wildmarke sowie das</w:t>
      </w:r>
    </w:p>
    <w:p>
      <w:r>
        <w:t xml:space="preserve">ordnungsgemäße Ausfüllen des Wildursprungsscheines ist der</w:t>
      </w:r>
    </w:p>
    <w:p>
      <w:r>
        <w:t xml:space="preserve">Jagdausübungsberechtigte verantwortlich. Er kann diese Pflicht auf andere</w:t>
      </w:r>
    </w:p>
    <w:p>
      <w:r>
        <w:t xml:space="preserve">Personen übertragen. Dies entbindet ihn nicht von seiner Verantwortung.</w:t>
      </w:r>
    </w:p>
    <w:p>
      <w:r>
        <w:rPr>
          <w:color w:val="555555"/>
          <w:sz w:val="17"/>
        </w:rPr>
        <w:t xml:space="preserve">Zitiervorschlag: § 2 WildÜV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https://recht.nulegal.eu/gesetze/Wild%C3%9CV/2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