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WildÜV (Brandenburg)</w:t>
      </w:r>
    </w:p>
    <w:p>
      <w:r>
        <w:rPr>
          <w:color w:val="555555"/>
          <w:sz w:val="18"/>
        </w:rPr>
        <w:t xml:space="preserve">Wildhandelsüberwachungsverordnung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alle</w:t>
      </w:r>
    </w:p>
    <w:p>
      <w:r>
        <w:t xml:space="preserve">Jagdausübungsberechtigten, Wildhändler sowie für Betriebe und</w:t>
      </w:r>
    </w:p>
    <w:p>
      <w:r>
        <w:t xml:space="preserve">Gaststätten, die Schalenwild (im folgenden Wild genannt) ankaufen,</w:t>
      </w:r>
    </w:p>
    <w:p>
      <w:r>
        <w:t xml:space="preserve">verkaufen bzw. be- oder verarbeiten.</w:t>
      </w:r>
    </w:p>
    <w:p>
      <w:r>
        <w:rPr>
          <w:color w:val="555555"/>
          <w:sz w:val="17"/>
        </w:rPr>
        <w:t xml:space="preserve">Zitiervorschlag: § 1 WildÜV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https://recht.nulegal.eu/gesetze/Wild%C3%9CV/1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