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WidZVMW (Brandenburg) — In-Kraft-Treten, Außer-Kraft-Treten</w:t>
      </w:r>
    </w:p>
    <w:p>
      <w:r>
        <w:rPr>
          <w:color w:val="555555"/>
          <w:sz w:val="18"/>
        </w:rPr>
        <w:t xml:space="preserve">Widerspruchszuständigkeitsverordnung MW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mit Wirkung vom 1. Juli 2004 in Kraft. Gleichzeitig tritt die Widerspruchszuständigkeitsverordnung MW vom 26. März 1998 (GVBl. II S. 322) außer Kraft.</w:t>
      </w:r>
    </w:p>
    <w:p>
      <w:r>
        <w:t xml:space="preserve">Potsdam, den 4. März 2005</w:t>
      </w:r>
    </w:p>
    <w:p>
      <w:r>
        <w:t xml:space="preserve">Der Minister für Wirtschaft</w:t>
      </w:r>
    </w:p>
    <w:p>
      <w:r>
        <w:t xml:space="preserve">Ulrich Junghanns</w:t>
      </w:r>
    </w:p>
    <w:p>
      <w:r>
        <w:rPr>
          <w:color w:val="555555"/>
          <w:sz w:val="17"/>
        </w:rPr>
        <w:t xml:space="preserve">Zitiervorschlag: § 4 WidZVMW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https://recht.nulegal.eu/gesetze/WidZVMW/4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