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WidZVMW (Brandenburg) — Vertretung bei Klagen aus dem Beamtenverhältnis</w:t>
      </w:r>
    </w:p>
    <w:p>
      <w:r>
        <w:rPr>
          <w:color w:val="555555"/>
          <w:sz w:val="18"/>
        </w:rPr>
        <w:t xml:space="preserve">Widerspruchszuständigkeitsverordnung MW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Vertretung des Landes vor den Gerichten der Verwaltungsgerichtsbarkeit wird der in § 1 genannten Stelle übertragen, soweit diese über den Widerspruch zu entscheiden</w:t>
      </w:r>
    </w:p>
    <w:p>
      <w:r>
        <w:t xml:space="preserve">hat. Satz 1 gilt entsprechend für die Verfahren auf einstweiligen Rechtsschutz nach der Verwaltungsgerichtsordnung.</w:t>
      </w:r>
    </w:p>
    <w:p>
      <w:r>
        <w:rPr>
          <w:color w:val="555555"/>
          <w:sz w:val="17"/>
        </w:rPr>
        <w:t xml:space="preserve">Zitiervorschlag: § 2 WidZVMW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https://recht.nulegal.eu/gesetze/WidZVMW/2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