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WidZVMW (Brandenburg) — Befugnis zum Erlass von Widerspruchsbescheiden</w:t>
      </w:r>
    </w:p>
    <w:p>
      <w:r>
        <w:rPr>
          <w:color w:val="555555"/>
          <w:sz w:val="18"/>
        </w:rPr>
        <w:t xml:space="preserve">Widerspruchszuständigkeitsverordnung MW</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Zuständigkeit für den Erlass von Widerspruchsbescheiden in beamtenrechtlichen Angelegenheiten der Beamten, Ruhestandsbeamten und früheren Beamten im Geschäftsbereich des Ministeriums für Wirtschaft sowie deren Hinterbliebenen wird auf die Zentrale Bezügestelle des Landes Brandenburg übertragen, soweit</w:t>
      </w:r>
    </w:p>
    <w:p>
      <w:r>
        <w:t xml:space="preserve">diese die mit dem Widerspruch angegriffene Maßnahme getroffen hat.</w:t>
      </w:r>
    </w:p>
    <w:p>
      <w:r>
        <w:rPr>
          <w:color w:val="555555"/>
          <w:sz w:val="17"/>
        </w:rPr>
        <w:t xml:space="preserve">Zitiervorschlag: § 1 WidZVMW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https://recht.nulegal.eu/gesetze/WidZVMW/1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