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WidZVMP (Brandenburg) — Inkrafttreten</w:t>
      </w:r>
    </w:p>
    <w:p>
      <w:r>
        <w:rPr>
          <w:color w:val="555555"/>
          <w:sz w:val="18"/>
        </w:rPr>
        <w:t xml:space="preserve">Widerspruchszuständigkeitsverordnung Ministerpräsident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14. Oktober 1998</w:t>
      </w:r>
    </w:p>
    <w:p>
      <w:r>
        <w:t xml:space="preserve">Der Ministerpräsident</w:t>
      </w:r>
    </w:p>
    <w:p>
      <w:r>
        <w:t xml:space="preserve">Manfred Stolpe</w:t>
      </w:r>
    </w:p>
    <w:p>
      <w:r>
        <w:rPr>
          <w:color w:val="555555"/>
          <w:sz w:val="17"/>
        </w:rPr>
        <w:t xml:space="preserve">Zitiervorschlag: § 4 WidZVMP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https://recht.nulegal.eu/gesetze/WidZVMP/4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