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WidZVMP (Brandenburg) — Übergangsvorschrift</w:t>
      </w:r>
    </w:p>
    <w:p>
      <w:r>
        <w:rPr>
          <w:color w:val="555555"/>
          <w:sz w:val="18"/>
        </w:rPr>
        <w:t xml:space="preserve">Widerspruchszuständigkeitsverordnung Ministerpräsident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im Zeitpunkt des Inkrafttretens dieser Verordnung anhängigen Verfahren verbleibt die Vertretungsbefugnis bei der bisher zuständigen Stelle.</w:t>
      </w:r>
    </w:p>
    <w:p>
      <w:r>
        <w:rPr>
          <w:color w:val="555555"/>
          <w:sz w:val="17"/>
        </w:rPr>
        <w:t xml:space="preserve">Zitiervorschlag: § 3 WidZVMP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https://recht.nulegal.eu/gesetze/WidZVMP/3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