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WidZVMP (Brandenburg) — Vertretung vor den Verwaltungsgerichten</w:t>
      </w:r>
    </w:p>
    <w:p>
      <w:r>
        <w:rPr>
          <w:color w:val="555555"/>
          <w:sz w:val="18"/>
        </w:rPr>
        <w:t xml:space="preserve">Widerspruchszuständigkeitsverordnung Ministerpräsident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Vertretung des Landes vor den Gerichten der Verwaltungsgerichtsbarkeit wird auf die in § 1 bezeichnete Stelle übertragen, soweit diese über den Widerspruch zu entscheiden hat. Satz 1 gilt entsprechend für die Verfahren auf einstweiligen Rechtsschutz nach der Verwaltungsgerichtsordnung.</w:t>
      </w:r>
    </w:p>
    <w:p>
      <w:r>
        <w:rPr>
          <w:color w:val="555555"/>
          <w:sz w:val="17"/>
        </w:rPr>
        <w:t xml:space="preserve">Zitiervorschlag: § 2 WidZVMP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https://recht.nulegal.eu/gesetze/WidZVMP/2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