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WidZVMLUV (Brandenburg) — Übergangsvorschrift</w:t>
      </w:r>
    </w:p>
    <w:p>
      <w:r>
        <w:rPr>
          <w:color w:val="555555"/>
          <w:sz w:val="18"/>
        </w:rPr>
        <w:t xml:space="preserve">Widerspruchszuständigkeitsverordnung MLUV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im Zeitpunkt des In-Kraft-Tretens dieser Verordnung anhängigen gerichtlichen Verfahren verbleibt die Vertretungsbefugnis bei der hierfür vor In-Kraft-Treten dieser Verordnung zuständigen Dienststelle.</w:t>
      </w:r>
    </w:p>
    <w:p>
      <w:r>
        <w:rPr>
          <w:color w:val="555555"/>
          <w:sz w:val="17"/>
        </w:rPr>
        <w:t xml:space="preserve">Zitiervorschlag: § 3 WidZVMLUV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https://recht.nulegal.eu/gesetze/WidZVMLUV/3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