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WidZVMLUV (Brandenburg) — Vertretung bei Klagen aus dem Beamtenverhältnis</w:t>
      </w:r>
    </w:p>
    <w:p>
      <w:r>
        <w:rPr>
          <w:color w:val="555555"/>
          <w:sz w:val="18"/>
        </w:rPr>
        <w:t xml:space="preserve">Widerspruchszuständigkeitsverordnung MLUV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Vertretung des Landes vor den Gerichten der Verwaltungsgerichtsbarkeit wird der in § 1 genannten Stelle übertragen, soweit diese über den Widerspruch zu entscheiden hat. Satz 1 gilt entsprechend für die Verfahren auf einstweiligen Rechtsschutz nach der Verwaltungsgerichtsordnung.</w:t>
      </w:r>
    </w:p>
    <w:p>
      <w:r>
        <w:rPr>
          <w:color w:val="555555"/>
          <w:sz w:val="17"/>
        </w:rPr>
        <w:t xml:space="preserve">Zitiervorschlag: § 2 WidZVMLUV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https://recht.nulegal.eu/gesetze/WidZVMLUV/2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