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WidZVMI (Brandenburg)</w:t>
      </w:r>
    </w:p>
    <w:p>
      <w:r>
        <w:rPr>
          <w:color w:val="555555"/>
          <w:sz w:val="18"/>
        </w:rPr>
        <w:t xml:space="preserve">Widerspruchszuständigkeitsverordnung MI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Auf Grund des § 127 Abs. 3 Nr. 2</w:t>
      </w:r>
    </w:p>
    <w:p>
      <w:r>
        <w:t xml:space="preserve">Satz 2 und des § 127 Abs. 4 Satz 2 des Landesbeamtengesetzes vom 24. Dezember</w:t>
      </w:r>
    </w:p>
    <w:p>
      <w:r>
        <w:t xml:space="preserve">1992 (GVBl. I S. 506) verordnet der Minister des Innern:</w:t>
      </w:r>
    </w:p>
    <w:p>
      <w:r>
        <w:t xml:space="preserve">§ 1</w:t>
      </w:r>
    </w:p>
    <w:p>
      <w:r>
        <w:t xml:space="preserve">Befugnis zum Erlaß</w:t>
      </w:r>
    </w:p>
    <w:p>
      <w:r>
        <w:t xml:space="preserve">von Widerspruchsbescheiden</w:t>
      </w:r>
    </w:p>
    <w:p>
      <w:r>
        <w:t xml:space="preserve">Die Zuständigkeit für den Erlaß</w:t>
      </w:r>
    </w:p>
    <w:p>
      <w:r>
        <w:t xml:space="preserve">von Widerspruchsbescheiden in beamtenrechtlichen Angelegenheiten der Beamten,</w:t>
      </w:r>
    </w:p>
    <w:p>
      <w:r>
        <w:t xml:space="preserve">Ruhestandsbeamten und früheren Beamten im Geschäftsbereich des Ministeriums des</w:t>
      </w:r>
    </w:p>
    <w:p>
      <w:r>
        <w:t xml:space="preserve">Innern sowie deren Hinterbliebenen mit Ausnahme der Beamten, Ruhestandsbeamten</w:t>
      </w:r>
    </w:p>
    <w:p>
      <w:r>
        <w:t xml:space="preserve">und früheren Beamten des Polizeivollzugsdienstes und der Verwaltung der Polizei</w:t>
      </w:r>
    </w:p>
    <w:p>
      <w:r>
        <w:t xml:space="preserve">sowie deren Hinterbliebenen wird auf die Oberfinanzdirektion Cottbus - Zentrale</w:t>
      </w:r>
    </w:p>
    <w:p>
      <w:r>
        <w:t xml:space="preserve">Bezügestelle des Landes Brandenburg - übertragen, soweit diese die mit dem</w:t>
      </w:r>
    </w:p>
    <w:p>
      <w:r>
        <w:t xml:space="preserve">Widerspruch angegriffene Maßnahme getroffen hat.</w:t>
      </w:r>
    </w:p>
    <w:p>
      <w:r>
        <w:t xml:space="preserve">§ 2</w:t>
      </w:r>
    </w:p>
    <w:p>
      <w:r>
        <w:t xml:space="preserve">Vertretung bei</w:t>
      </w:r>
    </w:p>
    <w:p>
      <w:r>
        <w:t xml:space="preserve">Klagen aus dem Beamtenverhältnis</w:t>
      </w:r>
    </w:p>
    <w:p>
      <w:r>
        <w:t xml:space="preserve">Die Vertretung des Landes vor den</w:t>
      </w:r>
    </w:p>
    <w:p>
      <w:r>
        <w:t xml:space="preserve">Gerichten der Verwaltungsgerichtsbarkeit wird der in § 1 genannten Stelle</w:t>
      </w:r>
    </w:p>
    <w:p>
      <w:r>
        <w:t xml:space="preserve">übertragen, soweit diese über den Widerspruch zu entscheiden hat. Satz 1 gilt</w:t>
      </w:r>
    </w:p>
    <w:p>
      <w:r>
        <w:t xml:space="preserve">entsprechend für die Verfahren auf einstweiligen Rechtsschutz nach der</w:t>
      </w:r>
    </w:p>
    <w:p>
      <w:r>
        <w:t xml:space="preserve">Verwaltungsgerichtsordnung.</w:t>
      </w:r>
    </w:p>
    <w:p>
      <w:r>
        <w:t xml:space="preserve">§ 3</w:t>
      </w:r>
    </w:p>
    <w:p>
      <w:r>
        <w:t xml:space="preserve">Übergangsvorschrift</w:t>
      </w:r>
    </w:p>
    <w:p>
      <w:r>
        <w:t xml:space="preserve">Für die im Zeitpunkt des</w:t>
      </w:r>
    </w:p>
    <w:p>
      <w:r>
        <w:t xml:space="preserve">Inkrafttretens dieser Verordnung anhängigen gerichtlichen Verfahren verbleibt</w:t>
      </w:r>
    </w:p>
    <w:p>
      <w:r>
        <w:t xml:space="preserve">die Vertretungsbefugnis bei der bisher zuständigen Stelle.</w:t>
      </w:r>
    </w:p>
    <w:p>
      <w:r>
        <w:t xml:space="preserve">§ 4</w:t>
      </w:r>
    </w:p>
    <w:p>
      <w:r>
        <w:t xml:space="preserve">Inkrafttreten</w:t>
      </w:r>
    </w:p>
    <w:p>
      <w:r>
        <w:t xml:space="preserve">Diese Verordnung tritt am Tage</w:t>
      </w:r>
    </w:p>
    <w:p>
      <w:r>
        <w:t xml:space="preserve">nach der Verkündung in Kraft.</w:t>
      </w:r>
    </w:p>
    <w:p>
      <w:r>
        <w:t xml:space="preserve">Potsdam, den 15. April 1998</w:t>
      </w:r>
    </w:p>
    <w:p>
      <w:r>
        <w:t xml:space="preserve">Der Minister des Innern</w:t>
      </w:r>
    </w:p>
    <w:p>
      <w:r>
        <w:t xml:space="preserve">In Vertretung</w:t>
      </w:r>
    </w:p>
    <w:p>
      <w:r>
        <w:t xml:space="preserve">Werner Müller</w:t>
      </w:r>
    </w:p>
    <w:p>
      <w:r>
        <w:rPr>
          <w:color w:val="555555"/>
          <w:sz w:val="17"/>
        </w:rPr>
        <w:t xml:space="preserve">Zitiervorschlag: Volltext WidZVMI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https://recht.nulegal.eu/gesetze/WidZVMI/volltext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