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WidZVLT (Brandenburg) — Vertretung bei Klagen aus dem Beamtenverhältnis</w:t>
      </w:r>
    </w:p>
    <w:p>
      <w:r>
        <w:rPr>
          <w:color w:val="555555"/>
          <w:sz w:val="18"/>
        </w:rPr>
        <w:t xml:space="preserve">Widerspruchszuständigkeitsverordnung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wird auf die in § 1 bezeichnete Stelle übertragen, soweit diese über den Widerspruch zu entscheiden hat. Satz 1 gilt entsprechend für die Verfahren auf einstweiligen Rechtsschutz nach der Verwaltungsgerichtsordnung.</w:t>
      </w:r>
    </w:p>
    <w:p>
      <w:r>
        <w:rPr>
          <w:color w:val="555555"/>
          <w:sz w:val="17"/>
        </w:rPr>
        <w:t xml:space="preserve">Zitiervorschlag: § 2 WidZVLT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https://recht.nulegal.eu/gesetze/WidZVLT/2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