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WidZV MIR (Brandenburg) — Inkrafttreten</w:t>
      </w:r>
    </w:p>
    <w:p>
      <w:r>
        <w:rPr>
          <w:color w:val="555555"/>
          <w:sz w:val="18"/>
        </w:rPr>
        <w:t xml:space="preserve">Widerspruchszuständigkeitsverordnung MIR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Rechtsverordnung tritt am Tage nach ihrer Verkündung im Gesetz- und Verordnungsblatt des Landes Brandenburg in Kraft.</w:t>
      </w:r>
    </w:p>
    <w:p>
      <w:r>
        <w:t xml:space="preserve">Potsdam, den 29. August 1996</w:t>
      </w:r>
    </w:p>
    <w:p>
      <w:r>
        <w:t xml:space="preserve">Der Minister für Stadtentwicklung, Wohnen und Verkehr</w:t>
      </w:r>
    </w:p>
    <w:p>
      <w:r>
        <w:t xml:space="preserve">Hartmut Meyer</w:t>
      </w:r>
    </w:p>
    <w:p>
      <w:r>
        <w:rPr>
          <w:color w:val="555555"/>
          <w:sz w:val="17"/>
        </w:rPr>
        <w:t xml:space="preserve">Zitiervorschlag: § 4 WidZV MIR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https://recht.nulegal.eu/gesetze/WidZV%20MIR/4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