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WidZV MIR (Brandenburg) — Vertretung vor den Verwaltungsgerichten</w:t>
      </w:r>
    </w:p>
    <w:p>
      <w:r>
        <w:rPr>
          <w:color w:val="555555"/>
          <w:sz w:val="18"/>
        </w:rPr>
        <w:t xml:space="preserve">Widerspruchszuständigkeitsverordnung MIR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Vertretung des Landes vor den Verwaltungsgerichten nimmt in den in § 1 genannten Fällen die Zentrale</w:t>
      </w:r>
    </w:p>
    <w:p>
      <w:r>
        <w:t xml:space="preserve">Bezügestelle des Landes Brandenburg wahr. Dies gilt auch für Verfahren des vorläufigen Rechtsschutzes nach der Verwaltungsgerichtsordnung.</w:t>
      </w:r>
    </w:p>
    <w:p>
      <w:r>
        <w:rPr>
          <w:color w:val="555555"/>
          <w:sz w:val="17"/>
        </w:rPr>
        <w:t xml:space="preserve">Zitiervorschlag: § 2 WidZV MIR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https://recht.nulegal.eu/gesetze/WidZV%20MIR/2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