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4 WidZV MASGF (Brandenburg) — Inkrafttreten</w:t>
      </w:r>
    </w:p>
    <w:p>
      <w:r>
        <w:rPr>
          <w:color w:val="555555"/>
          <w:sz w:val="18"/>
        </w:rPr>
        <w:t xml:space="preserve">Widerspruchszuständigkeitsverordnung MASGF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02.08.2026 (konsolidierte Textfassung, kein amtliches Inkrafttretensdatum)</w:t>
      </w:r>
    </w:p>
    <w:p>
      <w:r>
        <w:t xml:space="preserve">Diese Verordnung tritt am Tage nach der Verkündung in Kraft.</w:t>
      </w:r>
    </w:p>
    <w:p>
      <w:r>
        <w:t xml:space="preserve">Potsdam, den 23. Oktober 1995</w:t>
      </w:r>
    </w:p>
    <w:p>
      <w:r>
        <w:t xml:space="preserve">Die Ministerin für Arbeit, Soziales, Gesundheit und Frauen</w:t>
      </w:r>
    </w:p>
    <w:p>
      <w:r>
        <w:t xml:space="preserve">Dr. Regine Hildebrandt</w:t>
      </w:r>
    </w:p>
    <w:p>
      <w:r>
        <w:rPr>
          <w:color w:val="555555"/>
          <w:sz w:val="17"/>
        </w:rPr>
        <w:t xml:space="preserve">Zitiervorschlag: § 4 WidZV MASGF (Brandenburg)</w:t>
      </w:r>
    </w:p>
    <w:p>
      <w:r>
        <w:rPr>
          <w:color w:val="555555"/>
          <w:sz w:val="17"/>
        </w:rPr>
        <w:t xml:space="preserve">Quelle: bravors, abgerufen 02.08.2026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https://recht.nulegal.eu/gesetze/WidZV%20MASGF/4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