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WidZV MASGF (Brandenburg) — Übergangsvorschrift</w:t>
      </w:r>
    </w:p>
    <w:p>
      <w:r>
        <w:rPr>
          <w:color w:val="555555"/>
          <w:sz w:val="18"/>
        </w:rPr>
        <w:t xml:space="preserve">Widerspruchszuständigkeitsverordnung MASGF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im Zeitpunkt des Inkrafttretens dieser Verordnung anhängigen gerichtlichen Verfahren verbleibt die Vertretungsbefugnis bei der bisher zuständigen Stelle.</w:t>
      </w:r>
    </w:p>
    <w:p>
      <w:r>
        <w:rPr>
          <w:color w:val="555555"/>
          <w:sz w:val="17"/>
        </w:rPr>
        <w:t xml:space="preserve">Zitiervorschlag: § 3 WidZV MASGF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https://recht.nulegal.eu/gesetze/WidZV%20MASGF/3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