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WidZV MASGF (Brandenburg) — Vertretung bei Klagen aus dem Beamtenverhältnis</w:t>
      </w:r>
    </w:p>
    <w:p>
      <w:r>
        <w:rPr>
          <w:color w:val="555555"/>
          <w:sz w:val="18"/>
        </w:rPr>
        <w:t xml:space="preserve">Widerspruchszuständigkeitsverordnung MASGF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Vertretung des Landes vor den Gerichten der Verwaltungsgerichtsbarkeit wird der in § 1 genannten Stelle übertragen, soweit diese über den Widerspruch zu entscheiden hat. Satz 1 gilt entsprechend für die Verfahren auf einstweilige Anordnung gemäß § 123 der Verwaltungsgerichtsordnung.</w:t>
      </w:r>
    </w:p>
    <w:p>
      <w:r>
        <w:rPr>
          <w:color w:val="555555"/>
          <w:sz w:val="17"/>
        </w:rPr>
        <w:t xml:space="preserve">Zitiervorschlag: § 2 WidZV MASGF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https://recht.nulegal.eu/gesetze/WidZV%20MASGF/2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