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WidZV LRH (Brandenburg) — Inkrafttreten</w:t>
      </w:r>
    </w:p>
    <w:p>
      <w:r>
        <w:rPr>
          <w:color w:val="555555"/>
          <w:sz w:val="18"/>
        </w:rPr>
        <w:t xml:space="preserve">Widerspruchszuständigkeitsverordnung Landesrechnungshof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19. Januar 1999</w:t>
      </w:r>
    </w:p>
    <w:p>
      <w:r>
        <w:t xml:space="preserve">Die Präsidentin des Landesrechnungshofes</w:t>
      </w:r>
    </w:p>
    <w:p>
      <w:r>
        <w:t xml:space="preserve">Gisela von der Aue</w:t>
      </w:r>
    </w:p>
    <w:p>
      <w:r>
        <w:rPr>
          <w:color w:val="555555"/>
          <w:sz w:val="17"/>
        </w:rPr>
        <w:t xml:space="preserve">Zitiervorschlag: § 4 WidZV LRH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https://recht.nulegal.eu/gesetze/WidZV%20LRH/4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