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WidZV LRH (Brandenburg) — Übergangsvorschrift</w:t>
      </w:r>
    </w:p>
    <w:p>
      <w:r>
        <w:rPr>
          <w:color w:val="555555"/>
          <w:sz w:val="18"/>
        </w:rPr>
        <w:t xml:space="preserve">Widerspruchszuständigkeitsverordnung Landesrechnungshof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Für die im Zeitpunkt des Inkrafttretens dieser Verordnung anhängigen gerichtlichen Verfahren verbleibt die Vertretungsbefugnis bei der Präsidentin des Landesrechnungshofes Brandenburg.</w:t>
      </w:r>
    </w:p>
    <w:p>
      <w:r>
        <w:rPr>
          <w:color w:val="555555"/>
          <w:sz w:val="17"/>
        </w:rPr>
        <w:t xml:space="preserve">Zitiervorschlag: § 3 WidZV LRH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https://recht.nulegal.eu/gesetze/WidZV%20LRH/3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