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WidZV LRH (Brandenburg) — Vertretung bei Klagen aus dem Beamtenverhältnis</w:t>
      </w:r>
    </w:p>
    <w:p>
      <w:r>
        <w:rPr>
          <w:color w:val="555555"/>
          <w:sz w:val="18"/>
        </w:rPr>
        <w:t xml:space="preserve">Widerspruchszuständigkeitsverordnung Landesrechnungshof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Vertretung des Landes vor den Gerichten der Verwaltungsgerichtsbarkeit wird der in § 1 genannten Stelle übertragen, soweit diese über den Widerspruch zu entscheiden hat. Satz 1 gilt entsprechend für die Verfahren auf einstweiligen Rechtsschutz nach der Verwaltungsgerichtsordnung.</w:t>
      </w:r>
    </w:p>
    <w:p>
      <w:r>
        <w:rPr>
          <w:color w:val="555555"/>
          <w:sz w:val="17"/>
        </w:rPr>
        <w:t xml:space="preserve">Zitiervorschlag: § 2 WidZV LRH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https://recht.nulegal.eu/gesetze/WidZV%20LRH/2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