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WiZV (Brandenburg) — Übertragung der Ermächtigung zum Erlass von Rechtsverordnungen auf das für Wirtschaft zuständige Mitglied der Landesregierung</w:t>
      </w:r>
    </w:p>
    <w:p>
      <w:r>
        <w:rPr>
          <w:color w:val="555555"/>
          <w:sz w:val="18"/>
        </w:rPr>
        <w:t xml:space="preserve">Verordnung über wirtschaftsrechtliche Zuständigkeiten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das für Wirtschaft zuständige Mitglied der Landesregierung wird die Ermächtigung zum Erlass von Rechtsverordnungen übertragen für</w:t>
      </w:r>
    </w:p>
    <w:p>
      <w:r>
        <w:t xml:space="preserve">die Bestimmung weiterer Anlagen über die vom Bundesministerium für Wirtschaft und Technologie hinaus getroffenen Regelungen nach § 1 Absatz 1 Satz 3 des Schornsteinfeger-Handwerksgesetzes vom 26. November 2008 (BGBl. I S. 2242) in der jeweils geltenden Fassung;</w:t>
      </w:r>
    </w:p>
    <w:p>
      <w:r>
        <w:t xml:space="preserve">den Erlass von Vorschriften über das Ausschreibungsverfahren und die Auswahl der Bewerber und Bewerberinnen nach § 9b Satz 1 des Schornsteinfeger-Handwerksgesetzes;</w:t>
      </w:r>
    </w:p>
    <w:p>
      <w:r>
        <w:t xml:space="preserve">die Bestimmung der für die Aufgaben nach dem Schornsteinfeger-Handwerksgesetz zuständigen Behörden nach § 23 des Schornsteinfeger-Handwerksgesetzes;</w:t>
      </w:r>
    </w:p>
    <w:p>
      <w:r>
        <w:t xml:space="preserve">die Bestimmung nach § 38 Absatz 3 der Gewerbeordnung in der Fassung der Bekanntmachung vom 22. Februar 1999 (BGBl. I S. 202), die zuletzt durch Artikel 4 Absatz 14 des Gesetzes vom 29. Juli 2009 (BGBl. I S. 2258) geändert worden ist, in der jeweils geltenden Fassung, in welcher Weise die Gewerbetreibenden der in § 38 Absatz 1 der Gewerbeordnung genannten Gewerbezweige ihre Bücher zu führen und dabei Daten über einzelne Geschäftsvorgänge, Geschäftspartner, Kunden und betroffene Dritte aufzuzeichnen haben;</w:t>
      </w:r>
    </w:p>
    <w:p>
      <w:r>
        <w:t xml:space="preserve">die Zulassung von Ausnahmen der in § 56 Absatz 1 der Gewerbeordnung aufgeführten Beschränkungen, solange und soweit das Bundesministerium für Wirtschaft und Technologie von seiner Ermächtigung gemäß § 56 Absatz 1 der Gewerbeordnung keinen Gebrauch gemacht hat und soweit hierdurch eine Gefährdung der Allgemeinheit oder der öffentlichen Sicherheit oder Ordnung nicht zu besorgen ist nach § 56 Absatz 2 Satz 2 der Gewerbeordnung;</w:t>
      </w:r>
    </w:p>
    <w:p>
      <w:r>
        <w:t xml:space="preserve">die Bestimmung, dass zur Anpassung des Wochenmarktes an die wirtschaftliche Entwicklung und die örtlichen Bedürfnisse der Verbraucher über § 67 Absatz 1 der Gewerbeordnung hinaus bestimmte Waren des täglichen Bedarfs auf allen oder bestimmten Wochenmärkten feilgeboten werden dürfen nach § 67 Absatz 2 der Gewerbeordnung;</w:t>
      </w:r>
    </w:p>
    <w:p>
      <w:r>
        <w:t xml:space="preserve">die Bestimmung der zuständigen Behörden für die Ausführung der Gewerbeordnung und der nach der Gewerbeordnung ergangenen Rechtsverordnungen, soweit in der Gewerbeordnung nichts anderes bestimmt ist, nach § 155 Absatz 2 der Gewerbeordnung;</w:t>
      </w:r>
    </w:p>
    <w:p>
      <w:r>
        <w:t xml:space="preserve">die Verfolgung und Ahndung von Ordnungswidrigkeiten nach § 36 Absatz 2 Satz 1 des Gesetzes über Ordnungswidrigkeiten in der Fassung der Bekanntmachung vom 19. Februar 1987 (BGBl. I S. 602), das zuletzt durch Artikel 2 des Gesetzes vom 29. Juli 2009 (BGBl. I S. 2353) geändert worden ist, in der jeweils geltenden Fassung, in Verbindung mit den §§ 144 bis 146, 147a und 147b der Gewerbeordnung;</w:t>
      </w:r>
    </w:p>
    <w:p>
      <w:r>
        <w:t xml:space="preserve">die Bestimmung der zuständigen Stelle nach § 50 Nummer 9 des Geldwäschegesetzes, soweit nicht die Zuständigkeit aufgrund des Geldwäschegesetzes oder anderer landesrechtlicher Vorschriften abweichend von dieser Verordnung festgelegt ist;</w:t>
      </w:r>
    </w:p>
    <w:p>
      <w:r>
        <w:t xml:space="preserve">die Bestimmung der zuständigen Stelle für die Verfolgung und Ahndung von Ordnungswidrigkeiten nach § 36 Absatz 2 Satz 1 des Gesetzes über Ordnungswidrigkeiten in Verbindung mit § 56 des Geldwäschegesetzes, soweit der Geschäftsbereich des für Wirtschaft zuständigen Ministeriums betroffen ist;</w:t>
      </w:r>
    </w:p>
    <w:p>
      <w:r>
        <w:t xml:space="preserve">die Bestimmung der zuständigen Behörden zur Verfolgung und Ahndung von Ordnungswidrigkeiten nach § 36 Absatz 2 Satz 1 des Gesetzes über Ordnungswidrigkeiten in Verbindung mit § 8 Absatz 1 Nummer 1 Buchstabe d und e und Nummer 2 in Verbindung mit Nummer 1 Buchstabe d und e sowie Absatz 2 des Schwarzarbeitsbekämpfungsgesetzes;</w:t>
      </w:r>
    </w:p>
    <w:p>
      <w:r>
        <w:t xml:space="preserve">die Festlegung der Gebührentatbestände sowie der Gebührenhöhe nach § 64 Absatz 3 Satz 2 des Genossenschaftsgesetzes.</w:t>
      </w:r>
    </w:p>
    <w:p>
      <w:r>
        <w:rPr>
          <w:color w:val="555555"/>
          <w:sz w:val="17"/>
        </w:rPr>
        <w:t xml:space="preserve">Zitiervorschlag: § 2 WiZV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