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WiVwAuflV</w:t>
      </w:r>
    </w:p>
    <w:p>
      <w:r>
        <w:rPr>
          <w:color w:val="555555"/>
          <w:sz w:val="18"/>
        </w:rPr>
        <w:t xml:space="preserve">Verordnung zur Auflösung oder Überführung von Einrichtungen der Verwaltung des Vereinigten Wirtschaftsgebietes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Befugnisse, die den in § 1 angeführten Verwaltungsstellen zustanden, die Geltendmachung der Ansprüche und die Erfüllung der Verpflichtungen der Verwaltung des Vereinigten Wirtschaftsgebietes in ihrem Bereich übernimmt</w:t>
      </w:r>
    </w:p>
    <w:p>
      <w:pPr>
        <w:ind w:left="420"/>
      </w:pPr>
      <w:r>
        <w:t xml:space="preserve">1. für die in § 1 Nr. 1 genannte Verwaltungsstelle:Der Präsident des Deutschen Bundestages</w:t>
      </w:r>
    </w:p>
    <w:p>
      <w:pPr>
        <w:ind w:left="420"/>
      </w:pPr>
      <w:r>
        <w:t xml:space="preserve">2. für die in § 1 Nr. 2 genannte Verwaltungsstelle:Der Präsident des Deutschen Bundesrates</w:t>
      </w:r>
    </w:p>
    <w:p>
      <w:pPr>
        <w:ind w:left="420"/>
      </w:pPr>
      <w:r>
        <w:t xml:space="preserve">3. für die in § 1 Nr. 3 genannte Verwaltungsstelle:Das Bundesministerium des Innern</w:t>
      </w:r>
    </w:p>
    <w:p>
      <w:pPr>
        <w:ind w:left="420"/>
      </w:pPr>
      <w:r>
        <w:t xml:space="preserve">4. für die in § 1 Nr. 4 genannte Verwaltungsstelle:Der Bundesminister für Arbeit</w:t>
      </w:r>
    </w:p>
    <w:p>
      <w:pPr>
        <w:ind w:left="420"/>
      </w:pPr>
      <w:r>
        <w:t xml:space="preserve">5. für die in § 1 Nr. 5 genannte Verwaltungsstelle:Das Bundesministerium für Ernährung, Landwirtschaft und Forsten</w:t>
      </w:r>
    </w:p>
    <w:p>
      <w:pPr>
        <w:ind w:left="420"/>
      </w:pPr>
      <w:r>
        <w:t xml:space="preserve">6. für die in § 1 Nr. 6 genannte Verwaltungsstelle:Das Bundesministerium der Finanzen</w:t>
      </w:r>
    </w:p>
    <w:p>
      <w:pPr>
        <w:ind w:left="420"/>
      </w:pPr>
      <w:r>
        <w:t xml:space="preserve">7. für die in § 1 Nr. 7 genannte Verwaltungsstelle:Das Bundesministerium für Wirtschaft und Technologie</w:t>
      </w:r>
    </w:p>
    <w:p>
      <w:pPr>
        <w:ind w:left="420"/>
      </w:pPr>
      <w:r>
        <w:t xml:space="preserve">8. für die in § 1 Nr. 8 genannte Verwaltungsstelle:Das Bundesministerium der Justiz</w:t>
      </w:r>
    </w:p>
    <w:p>
      <w:pPr>
        <w:ind w:left="420"/>
      </w:pPr>
      <w:r>
        <w:t xml:space="preserve">9. für die in § 1 Nr. 9 genannte Verwaltungsstelle:Der Bundesminister für Vertriebene.</w:t>
      </w:r>
    </w:p>
    <w:p>
      <w:r>
        <w:t xml:space="preserve">(2) Das Bundesministerium der Finanzen kann die Regelung von Ansprüchen und Verpflichtungen dieser Art im Einvernehmen mit den beteiligten Stellen abweichend hiervon selbst übernehmen oder auf ein anderes Bundesministerium übertragen.</w:t>
      </w:r>
    </w:p>
    <w:p>
      <w:r>
        <w:rPr>
          <w:color w:val="555555"/>
          <w:sz w:val="17"/>
        </w:rPr>
        <w:t xml:space="preserve">Zitiervorschlag: § 2 WiVwAuflV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https://recht.nulegal.eu/gesetze/WiVwAuflV/2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