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WiStruktG — Finanzierung</w:t>
      </w:r>
    </w:p>
    <w:p>
      <w:r>
        <w:rPr>
          <w:color w:val="555555"/>
          <w:sz w:val="18"/>
        </w:rPr>
        <w:t xml:space="preserve">GRW-Gesetz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 trägt vorbehaltlich der Bestimmung des Artikels 91a Abs. 3 des Grundgesetzes die Hälfte der Ausgaben in jedem Land.</w:t>
      </w:r>
    </w:p>
    <w:p>
      <w:r>
        <w:t xml:space="preserve">(2) Die Zahlungsabwicklung wird vom Koordinierungsausschuss nach Maßgabe der haushaltsrechtlichen Vorschriften des Bundes im gemeinsamen Koordinierungsrahmen konkretisiert.</w:t>
      </w:r>
    </w:p>
    <w:p>
      <w:r>
        <w:t xml:space="preserve">(3) Der Einsatz von Mitteln der Europäischen Strukturfonds für Maßnahmen nach § 1 Abs. 1 ist möglich.</w:t>
      </w:r>
    </w:p>
    <w:p>
      <w:r>
        <w:t xml:space="preserve">(4) Die Länder können zusätzlich eigene Mittel nach Maßgabe des gemeinsamen Koordinierungsrahmens einsetzen.</w:t>
      </w:r>
    </w:p>
    <w:p>
      <w:r>
        <w:rPr>
          <w:color w:val="555555"/>
          <w:sz w:val="17"/>
        </w:rPr>
        <w:t xml:space="preserve">Zitiervorschlag: § 7 WiStruktG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https://recht.nulegal.eu/gesetze/WiStruktG/7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