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WiStruktG — Koordinierungsausschuss</w:t>
      </w:r>
    </w:p>
    <w:p>
      <w:r>
        <w:rPr>
          <w:color w:val="555555"/>
          <w:sz w:val="18"/>
        </w:rPr>
        <w:t xml:space="preserve">GRW-Gesetz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Beschlussfassung über den gemeinsamen Koordinierungsrahmen und Anpassungen nach § 4 Abs. 2 und 3 bilden die Bundesregierung und die Landesregierungen einen Koordinierungsausschuss. Ihm gehören der Bundesminister für Wirtschaft und Energie als Vorsitzender sowie der Bundesminister der Finanzen und ein Minister (Senator) jedes Landes an; jedes Mitglied kann sich vertreten lassen. Die Stimmenzahl des Bundes entspricht der Zahl aller Länder. Jedes Land hat eine Stimme.</w:t>
      </w:r>
    </w:p>
    <w:p>
      <w:r>
        <w:t xml:space="preserve">(2) Der Koordinierungsausschuss beschließt mit den Stimmen des Bundes und der Mehrheit der Stimmen der Länder.</w:t>
      </w:r>
    </w:p>
    <w:p>
      <w:r>
        <w:t xml:space="preserve">(3) Der Koordinierungsausschuss gibt sich eine Geschäftsordnung.</w:t>
      </w:r>
    </w:p>
    <w:p>
      <w:r>
        <w:rPr>
          <w:color w:val="555555"/>
          <w:sz w:val="17"/>
        </w:rPr>
        <w:t xml:space="preserve">Zitiervorschlag: § 5 WiStruktG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https://recht.nulegal.eu/gesetze/WiStruktG/5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