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WiStruktG — Allgemeine Grundsätze</w:t>
      </w:r>
    </w:p>
    <w:p>
      <w:r>
        <w:rPr>
          <w:color w:val="555555"/>
          <w:sz w:val="18"/>
        </w:rPr>
        <w:t xml:space="preserve">GRW-Gesetz</w:t>
      </w:r>
    </w:p>
    <w:p>
      <w:r>
        <w:rPr>
          <w:color w:val="555555"/>
          <w:sz w:val="18"/>
        </w:rPr>
        <w:t xml:space="preserve">Stand: 22.04.2021 (konsolidierte Textfassung, kein amtliches Inkrafttretensdatum)</w:t>
      </w:r>
    </w:p>
    <w:p>
      <w:r>
        <w:t xml:space="preserve">(1) Die Förderung der in § 1 Abs. 1 genannten Maßnahmen muß mit den Grundsätzen der allgemeinen Wirtschaftspolitik und mit den Zielen und Erfordernissen der Raumordnung und Landesplanung übereinstimmen. Die Förderung soll sich auf räumliche und sachliche Schwerpunkte konzentrieren. Sie ist mit anderen öffentlichen Entwicklungsvorhaben abzustimmen.</w:t>
      </w:r>
    </w:p>
    <w:p>
      <w:r>
        <w:t xml:space="preserve">(2) Gewerbebetriebe werden nach § 1 Abs. 1 Nr. 1 nur dann gefördert, wenn zu erwarten ist, dass sie sich im Wettbewerb behaupten können. Träger der in § 1 Abs. 1 Nr. 2 aufgeführten Maßnahmen zum Ausbau der Infrastruktur sind vorzugsweise Gemeinden und Gemeindeverbände; nicht gefördert werden Maßnahmen</w:t>
      </w:r>
    </w:p>
    <w:p>
      <w:pPr>
        <w:ind w:left="420"/>
      </w:pPr>
      <w:r>
        <w:t xml:space="preserve">1. des Bundes und der Länder sowie</w:t>
      </w:r>
    </w:p>
    <w:p>
      <w:pPr>
        <w:ind w:left="420"/>
      </w:pPr>
      <w:r>
        <w:t xml:space="preserve">2. natürlicher und juristischer Personen, die auf Gewinnerzielung ausgerichtet sind.</w:t>
      </w:r>
    </w:p>
    <w:p>
      <w:r>
        <w:t xml:space="preserve">(3) Absatz 2 Satz 2 Halbsatz 2 Nummer 1 gilt nicht</w:t>
      </w:r>
    </w:p>
    <w:p>
      <w:pPr>
        <w:ind w:left="420"/>
      </w:pPr>
      <w:r>
        <w:t xml:space="preserve">1. für Gemeindeaufgaben, die in den Ländern Berlin und Hamburg wahrgenommen werden,</w:t>
      </w:r>
    </w:p>
    <w:p>
      <w:pPr>
        <w:ind w:left="420"/>
      </w:pPr>
      <w:r>
        <w:t xml:space="preserve">2. für Maßnahmen der Landeseigenverwaltung oder Maßnahmen der Landesverwaltung im Bundesauftrag im Bereich des Straßenbaus, wenn</w:t>
      </w:r>
    </w:p>
    <w:p>
      <w:pPr>
        <w:ind w:left="780"/>
      </w:pPr>
      <w:r>
        <w:t xml:space="preserve">a) diese Maßnahmen als Ergänzung sonstiger förderfähiger Maßnahmen anzusehen sind,</w:t>
      </w:r>
    </w:p>
    <w:p>
      <w:pPr>
        <w:ind w:left="780"/>
      </w:pPr>
      <w:r>
        <w:t xml:space="preserve">b) die Förderung im Umfang begrenzt und sachdienlich ist und</w:t>
      </w:r>
    </w:p>
    <w:p>
      <w:pPr>
        <w:ind w:left="780"/>
      </w:pPr>
      <w:r>
        <w:t xml:space="preserve">c) die ergänzenden Landesmaßnahmen nicht anderweitig aus Bundes- oder Landesmitteln finanziert werden.</w:t>
      </w:r>
    </w:p>
    <w:p>
      <w:r>
        <w:t xml:space="preserve">(4) Finanzhilfen werden nur bei einer angemessenen Beteiligung des Empfängers gewährt.</w:t>
      </w:r>
    </w:p>
    <w:p>
      <w:r>
        <w:t xml:space="preserve">(4a) (weggefallen)</w:t>
      </w:r>
    </w:p>
    <w:p>
      <w:r>
        <w:rPr>
          <w:color w:val="555555"/>
          <w:sz w:val="17"/>
        </w:rPr>
        <w:t xml:space="preserve">Zitiervorschlag: § 2 WiStruktG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https://recht.nulegal.eu/gesetze/WiStruktG/2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