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WiStrG 1954 — Rückerstattung des Mehrerlöses</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(1) Statt der Abführung kann auf Antrag des Geschädigten die Rückerstattung des Mehrerlöses an ihn angeordnet werden, wenn sein Rückforderungsanspruch gegen den Täter begründet erscheint.</w:t>
      </w:r>
    </w:p>
    <w:p>
      <w:r>
        <w:t xml:space="preserve">(2) Legt der Täter oder der Geschädigte, nachdem die Abführung des Mehrerlöses angeordnet ist, eine rechtskräftige Entscheidung vor, in welcher der Rückforderungsanspruch gegen den Täter festgestellt ist, so ordnet die Vollstreckungsbehörde an, daß die Anordnung der Abführung des Mehrerlöses insoweit nicht mehr vollstreckt oder der Geschädigte aus dem bereits abgeführten Mehrerlös befriedigt wird.</w:t>
      </w:r>
    </w:p>
    <w:p>
      <w:r>
        <w:t xml:space="preserve">(3) Die Vorschriften der Strafprozeßordnung über die Entschädigung des Verletzten (§§ 403 bis 406c) sind mit Ausnahme des § 405 Satz 1, § 406a Abs. 3 und § 406c Abs. 2 entsprechend anzuwenden.</w:t>
      </w:r>
    </w:p>
    <w:p>
      <w:r>
        <w:rPr>
          <w:color w:val="555555"/>
          <w:sz w:val="17"/>
        </w:rPr>
        <w:t xml:space="preserve">Zitiervorschlag: § 9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