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WiStrG 1954 — Durchführung einer baulichen Veränderung in missbräuchlicher Weise</w:t>
      </w:r>
    </w:p>
    <w:p>
      <w:r>
        <w:rPr>
          <w:color w:val="555555"/>
          <w:sz w:val="18"/>
        </w:rPr>
        <w:t xml:space="preserve">Wirtschaftsstrafgesetz 1954</w:t>
      </w:r>
    </w:p>
    <w:p>
      <w:r>
        <w:rPr>
          <w:color w:val="555555"/>
          <w:sz w:val="18"/>
        </w:rPr>
        <w:t xml:space="preserve">Stand: 10.06.2019 (konsolidierte Textfassung, kein amtliches Inkrafttretensdatum)</w:t>
      </w:r>
    </w:p>
    <w:p>
      <w:r>
        <w:t xml:space="preserve">(1) Ordnungswidrig handelt, wer in der Absicht, einen Mieter von Wohnraum hierdurch zur Kündigung oder zur Mitwirkung an der Aufhebung des Mietverhältnisses zu veranlassen, eine bauliche Veränderung in einer Weise durchführt oder durchführen lässt, die geeignet ist, zu erheblichen, objektiv nicht notwendigen Belastungen des Mieters zu führen.</w:t>
      </w:r>
    </w:p>
    <w:p>
      <w:r>
        <w:t xml:space="preserve">(2) Die Ordnungswidrigkeit kann mit einer Geldbuße bis zu hunderttausend Euro geahndet werden.</w:t>
      </w:r>
    </w:p>
    <w:p>
      <w:r>
        <w:rPr>
          <w:color w:val="555555"/>
          <w:sz w:val="17"/>
        </w:rPr>
        <w:t xml:space="preserve">Zitiervorschlag: § 6 WiStrG 1954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https://recht.nulegal.eu/gesetze/WiStrG%201954/6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