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WiStrG 1954 — Verstöße gegen die Preisregelung</w:t>
      </w:r>
    </w:p>
    <w:p>
      <w:r>
        <w:rPr>
          <w:color w:val="555555"/>
          <w:sz w:val="18"/>
        </w:rPr>
        <w:t xml:space="preserve">Wirtschaftsstrafgesetz 1954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in anderen als den in den §§ 1, 2 bezeichneten Fällen vorsätzlich oder fahrlässig einer Rechtsvorschrift über</w:t>
      </w:r>
    </w:p>
    <w:p>
      <w:pPr>
        <w:ind w:left="420"/>
      </w:pPr>
      <w:r>
        <w:t xml:space="preserve">1. Preise, Preisspannen, Zuschläge oder Abschläge,</w:t>
      </w:r>
    </w:p>
    <w:p>
      <w:pPr>
        <w:ind w:left="420"/>
      </w:pPr>
      <w:r>
        <w:t xml:space="preserve">2. Preisangaben,</w:t>
      </w:r>
    </w:p>
    <w:p>
      <w:pPr>
        <w:ind w:left="420"/>
      </w:pPr>
      <w:r>
        <w:t xml:space="preserve">3. Zahlungs- oder Lieferungsbedingungen oder</w:t>
      </w:r>
    </w:p>
    <w:p>
      <w:pPr>
        <w:ind w:left="420"/>
      </w:pPr>
      <w:r>
        <w:t xml:space="preserve">4. andere der Preisbildung oder dem Preisschutz dienende Maßnahmen</w:t>
      </w:r>
    </w:p>
    <w:p>
      <w:r>
        <w:t xml:space="preserve">oder einer auf Grund einer solchen Rechtsvorschrift ergangenen vollziehbaren Verfügung zuwiderhandelt, soweit die Rechtsvorschrift für einen bestimmten Tatbestand auf diese Vorschrift verweist. Die Verweisung ist nicht erforderlich, soweit § 16 dies bestimmt.</w:t>
      </w:r>
    </w:p>
    <w:p>
      <w:r>
        <w:t xml:space="preserve">(2) Die Ordnungswidrigkeit kann mit einer Geldbuße bis zu fünfundzwanzigtausend Euro geahndet werden.</w:t>
      </w:r>
    </w:p>
    <w:p>
      <w:r>
        <w:rPr>
          <w:color w:val="555555"/>
          <w:sz w:val="17"/>
        </w:rPr>
        <w:t xml:space="preserve">Zitiervorschlag: § 3 WiStrG 1954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https://recht.nulegal.eu/gesetze/WiStrG%201954/3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