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WiStrG 1954 — Ordnungswidrige Verstöße gegen Sicherstellungsvorschriften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 der in § 1 Abs. 1 bezeichneten Handlungen begeht, wenn die Tat ihrem Umfang und ihrer Auswirkung nach, namentlich nach Art und Menge der Sachen oder Leistungen, auf die sie sich bezieht, nicht geeignet ist,</w:t>
      </w:r>
    </w:p>
    <w:p>
      <w:pPr>
        <w:ind w:left="420"/>
      </w:pPr>
      <w:r>
        <w:t xml:space="preserve">1. die Versorgung, sei es auch nur auf einem bestimmten Gebiet in einem örtlichen Bereich, merkbar zu stören und</w:t>
      </w:r>
    </w:p>
    <w:p>
      <w:pPr>
        <w:ind w:left="420"/>
      </w:pPr>
      <w:r>
        <w:t xml:space="preserve">2. die Verwirklichung der sonstigen Ziele, denen die in § 1 Abs. 1 bezeichneten Rechtsvorschriften im allgemeinen oder im Einzelfall zu dienen bestimmt sind, merkbar zu beeinträchtigen.</w:t>
      </w:r>
    </w:p>
    <w:p>
      <w:r>
        <w:t xml:space="preserve">(2) Absatz 1 ist nicht anzuwenden, wenn der Täter die Tat beharrlich wiederholt.</w:t>
      </w:r>
    </w:p>
    <w:p>
      <w:r>
        <w:t xml:space="preserve">(3) Die Ordnungswidrigkeit und der Versuch einer Ordnungswidrigkeit können mit einer Geldbuße bis zu fünfundzwanzigtausend Euro geahndet werden.</w:t>
      </w:r>
    </w:p>
    <w:p>
      <w:r>
        <w:rPr>
          <w:color w:val="555555"/>
          <w:sz w:val="17"/>
        </w:rPr>
        <w:t xml:space="preserve">Zitiervorschlag: § 2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