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WiStrG 1954 — Verweisungen</w:t>
      </w:r>
    </w:p>
    <w:p>
      <w:r>
        <w:rPr>
          <w:color w:val="555555"/>
          <w:sz w:val="18"/>
        </w:rPr>
        <w:t xml:space="preserve">Wirtschaftsstrafgesetz 1954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Verweisen Vorschriften der in § 3 Abs. 1 Satz 1 bezeichneten Art auf die Straf- und Bußgeldvorschriften dieses Gesetzes in der vor dem 1. Januar 1975 geltenden Fassung, auf die Straf- und Bußgeldvorschriften des Wirtschaftsstrafgesetzes in der früher geltenden Fassung, auf dessen § 18 oder auf eine nach § 102 des genannten Gesetzes außer Kraft getretene Vorschrift, so gelten solche Verweisungen als ausdrückliche Verweisungen im Sinne des § 3 Abs. 1 Satz 1. Das gleiche gilt, wenn in Vorschriften der in § 3 Abs. 1 Satz 1 bezeichneten Art auf die Straf- und Bußgeldvorschriften des Getreidegesetzes, des Milch- und Fettgesetzes sowie des Zuckergesetzes in der vor dem 1. Januar 1975 geltenden Fassung verwiesen wird. Soweit eine Verweisung nach § 104 Abs. 3 des Wirtschaftsstrafgesetzes in der früher geltenden Fassung nicht erforderlich war, bestimmt sich die Ahndung der Zuwiderhandlungen nach § 3 Abs. 1 Satz 1, ohne daß es einer Verweisung bedarf.</w:t>
      </w:r>
    </w:p>
    <w:p>
      <w:r>
        <w:rPr>
          <w:color w:val="555555"/>
          <w:sz w:val="17"/>
        </w:rPr>
        <w:t xml:space="preserve">Zitiervorschlag: § 16 WiStrG 1954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https://recht.nulegal.eu/gesetze/WiStrG%201954/16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