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WiStrG 1954 — Verfahren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Strafverfahren ist die Abführung des Mehrerlöses im Urteil auszusprechen. Für das selbständige Verfahren gelten § 435 Absatz 1, 2 und 3 Satz 1 und § 436 Absatz 1 und 2 in Verbindung mit § 434 Absatz 2 oder 3 der Strafprozeßordnung entsprechend.</w:t>
      </w:r>
    </w:p>
    <w:p>
      <w:r>
        <w:t xml:space="preserve">(2) Im Bußgeldverfahren ist die Abführung des Mehrerlöses im Bußgeldbescheid auszusprechen. Im selbständigen Verfahren steht der von der Verwaltungsbehörde zu erlassende Bescheid einem Bußgeldbescheid gleich.</w:t>
      </w:r>
    </w:p>
    <w:p>
      <w:r>
        <w:rPr>
          <w:color w:val="555555"/>
          <w:sz w:val="17"/>
        </w:rPr>
        <w:t xml:space="preserve">Zitiervorschlag: § 11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