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WiSiV — Erklärungsberechtigung</w:t>
      </w:r>
    </w:p>
    <w:p>
      <w:r>
        <w:rPr>
          <w:color w:val="555555"/>
          <w:sz w:val="18"/>
        </w:rPr>
        <w:t xml:space="preserve">Wirtschaftssicherstellungsverordnung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Vorrangerklärung nach § 2 Abs. 3 darf nur abgeben,</w:t>
      </w:r>
    </w:p>
    <w:p>
      <w:pPr>
        <w:ind w:left="420"/>
      </w:pPr>
      <w:r>
        <w:t xml:space="preserve">1. wer nach § 3 Abs. 1 dazu ermächtigt ist oder</w:t>
      </w:r>
    </w:p>
    <w:p>
      <w:pPr>
        <w:ind w:left="420"/>
      </w:pPr>
      <w:r>
        <w:t xml:space="preserve">2. wer selbst eine Vorrangerklärung empfangen hat und nur auf diese Weise die von ihm geschuldete Leistung vorrangig erbringen kann.</w:t>
      </w:r>
    </w:p>
    <w:p>
      <w:r>
        <w:t xml:space="preserve">(2) Sobald die Voraussetzungen zur Abgabe einer Vorrangerklärung entfallen, ist sie unverzüglich zu widerrufen.</w:t>
      </w:r>
    </w:p>
    <w:p>
      <w:r>
        <w:rPr>
          <w:color w:val="555555"/>
          <w:sz w:val="17"/>
        </w:rPr>
        <w:t xml:space="preserve">Zitiervorschlag: § 4 WiSiV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https://recht.nulegal.eu/gesetze/WiSiV/4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