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WiSiV — Straftaten und Ordnungswidrigkeiten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vorsätzlich oder fahrlässig</w:t>
      </w:r>
    </w:p>
    <w:p>
      <w:pPr>
        <w:ind w:left="420"/>
      </w:pPr>
      <w:r>
        <w:t xml:space="preserve">1. entgegen § 2 Abs. 1 einen Vorrangvertrag nicht vor konkurrierenden anderen Verpflichtungen erfüllt,</w:t>
      </w:r>
    </w:p>
    <w:p>
      <w:pPr>
        <w:ind w:left="420"/>
      </w:pPr>
      <w:r>
        <w:t xml:space="preserve">2. einer vollziehbaren Anordnung nach § 2 Abs. 8, § 6 Abs. 1 oder 2 oder § 11 Abs. 3 zuwiderhandelt,</w:t>
      </w:r>
    </w:p>
    <w:p>
      <w:pPr>
        <w:ind w:left="420"/>
      </w:pPr>
      <w:r>
        <w:t xml:space="preserve">3. entgegen § 4 Abs. 1 eine Vorrangerklärung abgibt,</w:t>
      </w:r>
    </w:p>
    <w:p>
      <w:pPr>
        <w:ind w:left="420"/>
      </w:pPr>
      <w:r>
        <w:t xml:space="preserve">4. entgegen § 4 Abs. 2 die Vorrangerklärung nicht oder nicht rechtzeitig widerruft,</w:t>
      </w:r>
    </w:p>
    <w:p>
      <w:pPr>
        <w:ind w:left="420"/>
      </w:pPr>
      <w:r>
        <w:t xml:space="preserve">5. entgegen § 5 Abs. 2 Satz 2 eine Ware für andere Zwecke verarbeitet, sonst innerbetrieblich verwendet oder an Dritte liefert,</w:t>
      </w:r>
    </w:p>
    <w:p>
      <w:pPr>
        <w:ind w:left="420"/>
      </w:pPr>
      <w:r>
        <w:t xml:space="preserve">6. entgegen § 7 eine Ware liefert, bezieht, verwendet oder entnimmt,</w:t>
      </w:r>
    </w:p>
    <w:p>
      <w:pPr>
        <w:ind w:left="420"/>
      </w:pPr>
      <w:r>
        <w:t xml:space="preserve">7. entgegen § 9 Abs. 3 einen Bezugschein überträgt,</w:t>
      </w:r>
    </w:p>
    <w:p>
      <w:pPr>
        <w:ind w:left="420"/>
      </w:pPr>
      <w:r>
        <w:t xml:space="preserve">8. entgegen § 9 Abs. 5 die dort genannte Art oder Menge einer Ware nicht, nicht richtig oder nicht vollständig liefert,</w:t>
      </w:r>
    </w:p>
    <w:p>
      <w:pPr>
        <w:ind w:left="420"/>
      </w:pPr>
      <w:r>
        <w:t xml:space="preserve">9. entgegen § 9 Abs. 6 einen Bezugschein oder Kartenabschnitt nicht, nicht richtig oder nicht rechtzeitig entwertet, nicht oder nicht mindestens ein Jahr aufbewahrt oder nicht rechtzeitig vorlegt oder</w:t>
      </w:r>
    </w:p>
    <w:p>
      <w:pPr>
        <w:ind w:left="420"/>
      </w:pPr>
      <w:r>
        <w:t xml:space="preserve">10. entgegen § 11 Abs. 1 eine Meldung nicht, nicht richtig, nicht vollständig oder nicht rechtzeitig macht,</w:t>
      </w:r>
    </w:p>
    <w:p>
      <w:r>
        <w:t xml:space="preserve">begeht eine Zuwiderhandlung im Sinne des § 18 des Wirtschaftssicherstellungsgesetzes, die als Straftat nach § 1 Abs. 1 Nr. 1, Abs. 2 bis 4 des Wirtschaftsstrafgesetzes 1954 zu ahnden ist oder als Ordnungswidrigkeit nach § 2 des Wirtschaftsstrafgesetzes 1954 geahndet werden kann.</w:t>
      </w:r>
    </w:p>
    <w:p>
      <w:r>
        <w:t xml:space="preserve">(2) Zuständige Verwaltungsbehörde im Sinne des § 21 Nr. 2 des Wirtschaftssicherstellungsgesetzes ist</w:t>
      </w:r>
    </w:p>
    <w:p>
      <w:pPr>
        <w:ind w:left="420"/>
      </w:pPr>
      <w:r>
        <w:t xml:space="preserve">1. in den Fällen des Absatzes 1 Nr. 1 und 3 bis 6 die höhere Verwaltungsbehörde, in Ländern, in denen diese nicht besteht, die für die gewerbliche Wirtschaft zuständige oberste Landesbehörde,</w:t>
      </w:r>
    </w:p>
    <w:p>
      <w:pPr>
        <w:ind w:left="420"/>
      </w:pPr>
      <w:r>
        <w:t xml:space="preserve">2. in den Fällen des Absatzes 1 Nr. 2 die Behörde, die die Anordnung erlassen hat,</w:t>
      </w:r>
    </w:p>
    <w:p>
      <w:pPr>
        <w:ind w:left="420"/>
      </w:pPr>
      <w:r>
        <w:t xml:space="preserve">3. in den Fällen des Absatzes 1 Nr. 7 die Behörde, die den Bezugschein erteilt hat,</w:t>
      </w:r>
    </w:p>
    <w:p>
      <w:pPr>
        <w:ind w:left="420"/>
      </w:pPr>
      <w:r>
        <w:t xml:space="preserve">4. in den übrigen Fällen die Behörde der allgemeinen Verwaltung auf der Kreisstufe.</w:t>
      </w:r>
    </w:p>
    <w:p>
      <w:r>
        <w:t xml:space="preserve">Die übergeordnete Behörde ist in den Fällen des § 12 Abs. 2 zuständig.</w:t>
      </w:r>
    </w:p>
    <w:p>
      <w:r>
        <w:rPr>
          <w:color w:val="555555"/>
          <w:sz w:val="17"/>
        </w:rPr>
        <w:t xml:space="preserve">Zitiervorschlag: § 13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