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WiSiG 1965 — Zustimmungsbedürftigkeit der Rechtsverordnungen</w:t>
      </w:r>
    </w:p>
    <w:p>
      <w:r>
        <w:rPr>
          <w:color w:val="555555"/>
          <w:sz w:val="18"/>
        </w:rPr>
        <w:t xml:space="preserve">Wirtschaftssicherstellungsgesetz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Rechtsverordnungen der Bundesregierung, des Bundesministeriums für Wirtschaft und Energie und des Bundesministeriums der Finanzen nach § 1 bedürfen nicht der Zustimmung des Bundesrates, wenn ihre Geltung auf längstens sechs Monate befristet wird. Eine Verlängerung der Geltungsdauer ist nur mit Zustimmung des Bundesrates möglich.</w:t>
      </w:r>
    </w:p>
    <w:p>
      <w:r>
        <w:t xml:space="preserve">(2) Nach Eintritt der Voraussetzung des § 2 Abs. 1 bedürfen Rechtsverordnungen nach den §§ 1, 3 und 4 nicht der Zustimmung des Bundesrates.</w:t>
      </w:r>
    </w:p>
    <w:p>
      <w:r>
        <w:rPr>
          <w:color w:val="555555"/>
          <w:sz w:val="17"/>
        </w:rPr>
        <w:t xml:space="preserve">Zitiervorschlag: § 6 WiSiG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https://recht.nulegal.eu/gesetze/WiSiG%201965/6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