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WiSiG 1965 — Härteausgleich</w:t>
      </w:r>
    </w:p>
    <w:p>
      <w:r>
        <w:rPr>
          <w:color w:val="555555"/>
          <w:sz w:val="18"/>
        </w:rPr>
        <w:t xml:space="preserve">Wirtschaftssicherstellungsgesetz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Wird durch eine Maßnahme auf Grund dieses Gesetzes oder einer nach diesem Gesetz erlassenen Rechtsverordnung dem Betroffenen ein Vermögensnachteil zugefügt, der nicht nach § 15 abzugelten ist, ist eine Entschädigung in Geld zu gewähren, wenn und soweit dies zur Abwendung oder zum Ausgleich unbilliger Härten geboten erscheint.</w:t>
      </w:r>
    </w:p>
    <w:p>
      <w:r>
        <w:t xml:space="preserve">(2) Zur Leistung der Entschädigung ist der Träger der Aufgabe verpflichtet.</w:t>
      </w:r>
    </w:p>
    <w:p>
      <w:r>
        <w:t xml:space="preserve">(3) § 15 Abs. 3 ist entsprechend anzuwenden.</w:t>
      </w:r>
    </w:p>
    <w:p>
      <w:r>
        <w:rPr>
          <w:color w:val="555555"/>
          <w:sz w:val="17"/>
        </w:rPr>
        <w:t xml:space="preserve">Zitiervorschlag: § 16 WiSiG 1965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https://recht.nulegal.eu/gesetze/WiSiG%201965/16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