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WiPrPrüfV — Rücktritt von der Prüfung</w:t>
      </w:r>
    </w:p>
    <w:p>
      <w:r>
        <w:rPr>
          <w:color w:val="555555"/>
          <w:sz w:val="18"/>
        </w:rPr>
        <w:t xml:space="preserve">Wirtschaftsprüferprüfungsverordnung</w:t>
      </w:r>
    </w:p>
    <w:p>
      <w:r>
        <w:rPr>
          <w:color w:val="555555"/>
          <w:sz w:val="18"/>
        </w:rPr>
        <w:t xml:space="preserve">Stand: 10.06.2019 (konsolidierte Textfassung, kein amtliches Inkrafttretensdatum)</w:t>
      </w:r>
    </w:p>
    <w:p>
      <w:r>
        <w:t xml:space="preserve">Tritt die zu prüfende Person von der Prüfung zurück, so gilt die gesamte Prüfung als nicht bestanden. Als Rücktritt gilt es, wenn sie an einer Aufsichtsarbeit nicht teilnimmt oder sich der mündlichen Prüfung oder Teilen derselben nicht unterzieht. § 21 Abs. 2 und 3 gilt entsprechend.</w:t>
      </w:r>
    </w:p>
    <w:p>
      <w:r>
        <w:rPr>
          <w:color w:val="555555"/>
          <w:sz w:val="17"/>
        </w:rPr>
        <w:t xml:space="preserve">Zitiervorschlag: § 32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