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WiPrPrüfV — Prüfungskommission, Prüfungstermine</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Der Prüfungskommission gehören als Mitglieder an eine eine oberste Landesbehörde vertretende Person als vorsitzendes Mitglied, eine die Finanzverwaltung vertretende Person, eine weitere Person mit der Befähigung zum Richteramt und zwei Wirtschaftsprüfer oder Wirtschaftsprüferinnen. An der verkürzten Prüfung (§ 28 Abs. 1), bei der die Prüfung im Steuerrecht entfällt, nimmt die die Finanzverwaltung vertretende Person nicht teil.</w:t>
      </w:r>
    </w:p>
    <w:p>
      <w:r>
        <w:t xml:space="preserve">(2) § 2 Absatz 3 bis 8 und § 3 Abs. 1, 2 und 4 gelten entsprechend.</w:t>
      </w:r>
    </w:p>
    <w:p>
      <w:r>
        <w:rPr>
          <w:color w:val="555555"/>
          <w:sz w:val="17"/>
        </w:rPr>
        <w:t xml:space="preserve">Zitiervorschlag: § 26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