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WiPrO — Verfahren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Ist der Antrag auf berufsgerichtliche Entscheidung verspätet eingelegt oder sonst unzulässig, verwirft ihn das Landgericht ohne Hauptverhandlung durch Beschluss; gegen den Beschluss ist sofortige Beschwerde zulässig.</w:t>
      </w:r>
    </w:p>
    <w:p>
      <w:r>
        <w:t xml:space="preserve">(2) Anderenfalls beraumt das Landgericht eine Hauptverhandlung an. Für diese gelten die Vorschriften der Strafprozessordnung sinngemäß, soweit dieses Gesetz nichts anderes bestimmt.</w:t>
      </w:r>
    </w:p>
    <w:p>
      <w:r>
        <w:rPr>
          <w:color w:val="555555"/>
          <w:sz w:val="17"/>
        </w:rPr>
        <w:t xml:space="preserve">Zitiervorschlag: § 86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