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WiPrO — Reihenfolge der Teilnahme an den Sitzungen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ehrenamtlichen Richter sind zu den einzelnen Sitzungen in der Reihenfolge einer Liste heranzuziehen, die der Vorsitzende nach Anhörung der beiden ältesten der berufenen ehrenamtlichen Richter vor Beginn des Geschäftsjahres aufstellt.</w:t>
      </w:r>
    </w:p>
    <w:p>
      <w:r>
        <w:t xml:space="preserve">(2) Für die Entbindung eines ehrenamtlichen Richters von der Dienstleistung an bestimmten Sitzungstagen gilt § 54 des Gerichtsverfassungsgesetzes sinngemäß.</w:t>
      </w:r>
    </w:p>
    <w:p>
      <w:r>
        <w:rPr>
          <w:color w:val="555555"/>
          <w:sz w:val="17"/>
        </w:rPr>
        <w:t xml:space="preserve">Zitiervorschlag: § 79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