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 WiPrO — Senat für Wirtschaftsprüfersachen beim Oberlandesgericht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In dem berufsgerichtlichen Verfahren entscheidet im zweiten Rechtszug ein Senat des Oberlandesgerichts (Senat für Wirtschaftsprüfersachen beim Oberlandesgericht).</w:t>
      </w:r>
    </w:p>
    <w:p>
      <w:r>
        <w:t xml:space="preserve">(2) Der Senat für Wirtschaftsprüfersachen beim Oberlandesgericht entscheidet außerhalb der Hauptverhandlung in der Besetzung von drei Mitgliedern mit Einschluß des Vorsitzenden. In der Hauptverhandlung wirken außerdem als Beisitzer zwei Berufsangehörige mit.</w:t>
      </w:r>
    </w:p>
    <w:p>
      <w:r>
        <w:rPr>
          <w:color w:val="555555"/>
          <w:sz w:val="17"/>
        </w:rPr>
        <w:t xml:space="preserve">Zitiervorschlag: § 73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