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WiPrO — Bekanntmachung von Maßnahmen, Bußgeldentscheidungen und strafrechtlichen Verurteilungen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Wirtschaftsprüferkammer und die Abschlussprüferaufsichtsstelle machen jede ihrer unanfechtbaren berufsaufsichtlichen Maßnahmen unverzüglich auf ihren Internetseiten öffentlich bekannt und teilen dabei auch Informationen zu Art und Charakter des Verstoßes mit. Bei berufsaufsichtlichen Maßnahmen nach § 68 Absatz 1 Satz 2 Nummer 2 bis 7 gegen Berufsangehörige ist in der Bekanntmachung der Name des Berufsangehörigen und die Wirtschaftsprüfungsgesellschaft zu nennen, für die der Berufsangehörige bei der Verwirklichung der Berufspflichtverletzung gehandelt hat. Bei berufsaufsichtlichen Maßnahmen nach § 68 Absatz 1 Satz 2 Nummer 1 bis 7 gegen eine Wirtschaftsprüfungsgesellschaft ist die Wirtschaftsprüfungsgesellschaft in der Bekanntmachung zu nennen. Wenn der Berufsangehörige oder die Wirtschaftsprüfungsgesellschaft eine Stellungnahme zu der unanfechtbaren berufsaufsichtlichen Maßnahme abgegeben hat, ist diese in der Bekanntmachung mit zu veröffentlichen. Darüber hinausgehende personenbezogene Daten darf die Bekanntmachung nicht enthalten.</w:t>
      </w:r>
    </w:p>
    <w:p>
      <w:r>
        <w:t xml:space="preserve">(1a) Die Abschlussprüferaufsichtsstelle soll neben der Bekanntmachung nach Absatz 1 unverzüglich auf ihrer Internetseite öffentlich bekannt machen:</w:t>
      </w:r>
    </w:p>
    <w:p>
      <w:pPr>
        <w:ind w:left="420"/>
      </w:pPr>
      <w:r>
        <w:t xml:space="preserve">1. jede rechtskräftige Bußgeldentscheidung nach § 334 Absatz 2 und 2a, § 340n Absatz 2 und 2a und § 341n Absatz 2 und 2a des Handelsgesetzbuchs, § 20 Absatz 2 bis 2c des Publizitätsgesetzes, § 405 Absatz 3b und 3c des Aktiengesetzes, § 87 Absatz 1 bis 3 des Gesetzes betreffend die Gesellschaften mit beschränkter Haftung, § 152 Absatz 1a des Genossenschaftsgesetzes und § 332 Absatz 4a und 4b des Versicherungsaufsichtsgesetzes sowie</w:t>
      </w:r>
    </w:p>
    <w:p>
      <w:pPr>
        <w:ind w:left="420"/>
      </w:pPr>
      <w:r>
        <w:t xml:space="preserve">2. jede rechtskräftige Verurteilung wegen einer Straftat nach den §§ 332, 333, jeweils auch in Verbindung mit § 340m Absatz 1 Satz 1 oder § 341m Absatz 1 Satz 1, nach den §§ 333a, 340m Absatz 2 und nach § 341m Absatz 2 des Handelsgesetzbuchs, nach den §§ 18 bis 19a des Publizitätsgesetzes, § 404a des Aktiengesetzes, § 86 des Gesetzes betreffend die Gesellschaften mit beschränkter Haftung, § 151a des Genossenschaftsgesetzes und § 331 Absatz 2a des Versicherungsaufsichtsgesetzes.</w:t>
      </w:r>
    </w:p>
    <w:p>
      <w:r>
        <w:t xml:space="preserve">Bei der Bekanntmachung nach Satz 1 sollen auch Informationen zu Art und Charakter des Verstoßes mitgeteilt werden. Absatz 1 Satz 2 bis 5 gilt entsprechend.</w:t>
      </w:r>
    </w:p>
    <w:p>
      <w:r>
        <w:t xml:space="preserve">(2) Maßnahmen, Bußgeldentscheidungen und strafrechtliche Verurteilungen werden anonymisiert bekannt gemacht, wenn im Fall einer Bekanntmachung nach Absatz 1 oder Absatz 1a die Stabilität der Finanzmärkte oder laufende strafrechtliche Ermittlungen erheblich gefährdet oder den Beteiligten ein unverhältnismäßig großer Schaden zugefügt würde. Gegen Berufsangehörige verhängte Maßnahmen sowie Bußgeldentscheidungen und strafrechtliche Verurteilungen werden anonymisiert bekannt gemacht, wenn eine öffentliche Bekanntmachung der personenbezogenen Daten unverhältnismäßig wäre.</w:t>
      </w:r>
    </w:p>
    <w:p>
      <w:r>
        <w:t xml:space="preserve">(3) Eine Bekanntmachung nach den Absätzen 1 und 1a ist fünf Jahre nach ihrer Veröffentlichung zu löschen.</w:t>
      </w:r>
    </w:p>
    <w:p>
      <w:r>
        <w:t xml:space="preserve">(4) Die Abschlussprüferaufsichtsstelle unterrichtet den Ausschuss der Aufsichtsstellen (Artikel 30 der Verordnung (EU) Nr. 537/2014) unverzüglich über alle berufsaufsichtlichen Maßnahmen nach § 68 Absatz 1 Satz 2 Nummer 3 bis 6. Die Abschlussprüferaufsichtsstelle übermittelt dem Ausschuss der Aufsichtsstellen jährlich aggregierte Informationen über</w:t>
      </w:r>
    </w:p>
    <w:p>
      <w:pPr>
        <w:ind w:left="420"/>
      </w:pPr>
      <w:r>
        <w:t xml:space="preserve">1. alle berufsaufsichtlichen Maßnahmen,</w:t>
      </w:r>
    </w:p>
    <w:p>
      <w:pPr>
        <w:ind w:left="420"/>
      </w:pPr>
      <w:r>
        <w:t xml:space="preserve">2. alle Bußgeldentscheidungen nach § 334 Absatz 2 und 2a, § 340n Absatz 2 und 2a und § 341n Absatz 2 und 2a des Handelsgesetzbuchs, § 20 Absatz 2 bis 2c des Publizitätsgesetzes, § 405 Absatz 3b und 3c des Aktiengesetzes, § 87 Absatz 1 bis 3 des Gesetzes betreffend die Gesellschaften mit beschränkter Haftung, § 152 Absatz 1a des Genossenschaftsgesetzes und § 332 Absatz 4a und 4b des Versicherungsaufsichtsgesetzes sowie</w:t>
      </w:r>
    </w:p>
    <w:p>
      <w:pPr>
        <w:ind w:left="420"/>
      </w:pPr>
      <w:r>
        <w:t xml:space="preserve">3. alle Verurteilungen wegen einer Straftat nach den §§ 333a, 340m Absatz 2 und nach § 341m Absatz 2 des Handelsgesetzbuchs, § 19a des Publizitätsgesetzes, § 404a des Aktiengesetzes, § 86 des Gesetzes betreffend die Gesellschaften mit beschränkter Haftung, § 151a des Genossenschaftsgesetzes und § 331 Absatz 2a und 2b des Versicherungsaufsichtsgesetzes.</w:t>
      </w:r>
    </w:p>
    <w:p>
      <w:r>
        <w:t xml:space="preserve">(5) Wird in einem Beschwerdeverfahren eine Maßnahme nach § 68 Absatz 1 verhängt und nach Absatz 1 veröffentlicht, so ist dies dem Beschwerdeführer mitzuteilen. Die Mitteilung ist nicht anfechtbar.</w:t>
      </w:r>
    </w:p>
    <w:p>
      <w:r>
        <w:rPr>
          <w:color w:val="555555"/>
          <w:sz w:val="17"/>
        </w:rPr>
        <w:t xml:space="preserve">Zitiervorschlag: § 69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