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WiPrO — Ahndung einer Pflichtverletzung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Gegen einen Wirtschaftsprüfer, der seine Pflichten schuldhaft verletzt, wird eine berufsaufsichtliche Maßnahme verhängt.</w:t>
      </w:r>
    </w:p>
    <w:p>
      <w:r>
        <w:t xml:space="preserve">(2) Ein außerhalb des Berufs liegendes Verhalten eines Wirtschaftsprüfers ist eine berufsaufsichtlich zu ahndende Pflichtverletzung, wenn es nach den Umständen des Einzelfalls in besonderem Maße geeignet ist, Achtung und Vertrauen in einer für die Ausübung der Berufstätigkeit oder für das Ansehen des Berufs bedeutsamen Weise zu beeinträchtigen.</w:t>
      </w:r>
    </w:p>
    <w:p>
      <w:r>
        <w:t xml:space="preserve">(3) Eine berufsaufsichtliche Maßnahme kann nicht verhängt werden, wenn der Wirtschaftsprüfer zur Zeit der Tat der Berufsaufsicht nicht unterstand.</w:t>
      </w:r>
    </w:p>
    <w:p>
      <w:r>
        <w:rPr>
          <w:color w:val="555555"/>
          <w:sz w:val="17"/>
        </w:rPr>
        <w:t xml:space="preserve">Zitiervorschlag: § 67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