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WiPrO — Unterrichtung der Staatsanwaltschaft</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Erhalten die Wirtschaftsprüferkammer oder die Abschlussprüferaufsichtsstelle Kenntnis von Tatsachen, die den Verdacht begründen, dass Berufsangehörige Straftaten im Zusammenhang mit der Berufsausübung begangen haben, teilen sie die Tatsachen der zuständigen Staatsanwaltschaft unverzüglich oder nach Ermittlung (§ 61a Satz 2) mit. Der Mitteilung kann eine fachliche Bewertung beigefügt werden.</w:t>
      </w:r>
    </w:p>
    <w:p>
      <w:r>
        <w:t xml:space="preserve">(2) Erhält die Staatsanwaltschaft Kenntnis von Tatsachen, die den Verdacht einer schuldhaften, eine berufsaufsichtliche Maßnahme nach § 68 Absatz 1 rechtfertigenden Pflichtverletzung eines Mitglieds der Wirtschaftsprüferkammer begründen, teilt sie die Tatsachen der Abschlussprüferaufsichtsstelle mit. Soweit die Mitteilung den Zuständigkeitsbereich der Wirtschaftsprüferkammer betrifft, leitet die Abschlussprüferaufsichtsstelle die Mitteilung an die Wirtschaftsprüferkammer weiter.</w:t>
      </w:r>
    </w:p>
    <w:p>
      <w:r>
        <w:rPr>
          <w:color w:val="555555"/>
          <w:sz w:val="17"/>
        </w:rPr>
        <w:t xml:space="preserve">Zitiervorschlag: § 65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