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WiPrO — Satzung; Wirtschaftsplan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Organisation und Verwaltung der Wirtschaftsprüferkammer, insbesondere die Einrichtung von Landesgeschäftsstellen, werden in der Satzung der Wirtschaftsprüferkammer geregelt, die vom Beirat der Wirtschaftsprüferkammer beschlossen wird. Die Satzung, die Wahlordnung und deren Änderungen bedürfen zu ihrer Wirksamkeit der Genehmigung des Bundesministeriums für Wirtschaft und Energie. § 57 Absatz 3b Satz 5 gilt entsprechend.</w:t>
      </w:r>
    </w:p>
    <w:p>
      <w:r>
        <w:t xml:space="preserve">(2) Die Wirtschaftsprüferkammer legt jährlich ihren Wirtschaftsplan für das darauffolgende Kalenderjahr vor Feststellung dem Bundesministerium für Wirtschaft und Energie vor. Die auf die Qualitätskontrolle und die Arbeit der Berufsaufsicht bezogenen Teile des Wirtschaftsplans bedürfen der Genehmigung des Bundesministeriums für Wirtschaft und Energie.</w:t>
      </w:r>
    </w:p>
    <w:p>
      <w:r>
        <w:rPr>
          <w:color w:val="555555"/>
          <w:sz w:val="17"/>
        </w:rPr>
        <w:t xml:space="preserve">Zitiervorschlag: § 60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