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57c WiPrO — Satzung für Qualitätskontrolle</w:t>
      </w:r>
    </w:p>
    <w:p>
      <w:r>
        <w:rPr>
          <w:color w:val="555555"/>
          <w:sz w:val="18"/>
        </w:rPr>
        <w:t xml:space="preserve">Wirtschaftsprüferordnung</w:t>
      </w:r>
    </w:p>
    <w:p>
      <w:r>
        <w:rPr>
          <w:color w:val="555555"/>
          <w:sz w:val="18"/>
        </w:rPr>
        <w:t xml:space="preserve">Stand: 27.06.2023 (konsolidierte Textfassung, kein amtliches Inkrafttretensdatum)</w:t>
      </w:r>
    </w:p>
    <w:p>
      <w:r>
        <w:t xml:space="preserve">(1) Die Wirtschaftsprüferkammer erlässt eine Satzung für Qualitätskontrolle; die Satzung wird vom Beirat der Wirtschaftsprüferkammer beschlossen. Die Satzung und deren Änderungen müssen im Einklang mit den Vorgaben des auf sie anzuwendenden europäischen Rechts stehen. Insbesondere sind bei neuen oder zu ändernden Vorschriften, die dem Anwendungsbereich der Richtlinie 2005/36/EG in der jeweils geltenden Fassung unterfallen, die Vorgaben der Richtlinie (EU) 2018/958 in der jeweils geltenden Fassung einzuhalten. § 57 Absatz 3a gilt entsprechend. Die Satzung und deren Änderungen bedürfen zu ihrer Wirksamkeit der Genehmigung des Bundesministeriums für Wirtschaft und Energie im Einvernehmen mit dem Bundesministerium der Justiz. Das Bundesministerium für Wirtschaft und Energie hat bei der Genehmigung zu prüfen, ob die Vorgaben der Richtlinie (EU) 2018/958 in der jeweils geltenden Fassung eingehalten wurden. Zu diesem Zweck hat ihm die Wirtschaftsprüferkammer die Unterlagen zuzuleiten, aus denen sich die Einhaltung der Vorgaben ergibt. Insbesondere sind die Gründe zu übermitteln, auf Grund derer der Beirat der Wirtschaftsprüferkammer die Satzung oder deren Änderungen als gerechtfertigt, notwendig und verhältnismäßig beurteilt hat. Nach der Genehmigung sind die Satzung und deren Änderungen unter Angabe des Datums ihres Inkrafttretens dauerhaft auf der Internetseite der Wirtschaftsprüferkammer zu veröffentlichen.</w:t>
      </w:r>
    </w:p>
    <w:p>
      <w:r>
        <w:t xml:space="preserve">(2) Die Satzung für Qualitätskontrolle hat im Rahmen der Vorschriften dieses Gesetzes näher zu regeln:</w:t>
      </w:r>
    </w:p>
    <w:p>
      <w:pPr>
        <w:ind w:left="420"/>
      </w:pPr>
      <w:r>
        <w:t xml:space="preserve">1. die Voraussetzungen und das Verfahren der Registrierung der Prüfer für Qualitätskontrolle sowie des Widerrufs der Registrierung nach § 57a Absatz 3 und 3a sowie nach § 63f Abs. 2 des Gesetzes betreffend die Erwerbs- und Wirtschaftsgenossenschaften;</w:t>
      </w:r>
    </w:p>
    <w:p>
      <w:pPr>
        <w:ind w:left="420"/>
      </w:pPr>
      <w:r>
        <w:t xml:space="preserve">2. Ausschlussgründe des Prüfers für Qualitätskontrolle nach § 57a Abs. 4;</w:t>
      </w:r>
    </w:p>
    <w:p>
      <w:pPr>
        <w:ind w:left="420"/>
      </w:pPr>
      <w:r>
        <w:t xml:space="preserve">3. das Verfahren nach den §§ 57a ff. innerhalb der Wirtschaftsprüferkammer;</w:t>
      </w:r>
    </w:p>
    <w:p>
      <w:pPr>
        <w:ind w:left="420"/>
      </w:pPr>
      <w:r>
        <w:t xml:space="preserve">4. die Mitteilungspflichten nach § 57a Absatz 1 Satz 3 und 4, die Risikoanalyse nach § 57a Absatz 2 Satz 4 und die Anordnung der Qualitätskontrolle nach § 57a Absatz 2 Satz 6;</w:t>
      </w:r>
    </w:p>
    <w:p>
      <w:pPr>
        <w:ind w:left="420"/>
      </w:pPr>
      <w:r>
        <w:t xml:space="preserve">5. die Maßnahmen der Kommission für Qualitätskontrolle;</w:t>
      </w:r>
    </w:p>
    <w:p>
      <w:pPr>
        <w:ind w:left="420"/>
      </w:pPr>
      <w:r>
        <w:t xml:space="preserve">6. Umfang und Inhalt der Qualitätskontrolle nach § 57a Absatz 2 Satz 3 und des Qualitätskontrollberichts nach § 57a Absatz 5;</w:t>
      </w:r>
    </w:p>
    <w:p>
      <w:pPr>
        <w:ind w:left="420"/>
      </w:pPr>
      <w:r>
        <w:t xml:space="preserve">7. Bestimmungen zu Inhalt und Aufbau der Unabhängigkeitsbestätigung nach § 57a Abs. 6 Satz 2;</w:t>
      </w:r>
    </w:p>
    <w:p>
      <w:pPr>
        <w:ind w:left="420"/>
      </w:pPr>
      <w:r>
        <w:t xml:space="preserve">8. Umfang und Inhalt der speziellen Ausbildungsverpflichtung nach § 57a Absatz 3 Satz 2 Nummer 2, der in § 57a Absatz 3a genannten speziellen Fortbildung sowie den entsprechenden Aus- oder Fortbildungsnachweis.</w:t>
      </w:r>
    </w:p>
    <w:p>
      <w:r>
        <w:rPr>
          <w:color w:val="555555"/>
          <w:sz w:val="17"/>
        </w:rPr>
        <w:t xml:space="preserve">Zitiervorschlag: § 57c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